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21D08A" w14:textId="77777777" w:rsidR="00DE7082" w:rsidRDefault="00DE7082" w:rsidP="00DE7082">
      <w:pPr>
        <w:pStyle w:val="22"/>
        <w:jc w:val="center"/>
        <w:rPr>
          <w:rFonts w:cs="B Mitra"/>
          <w:sz w:val="32"/>
          <w:szCs w:val="32"/>
          <w:rtl/>
        </w:rPr>
      </w:pPr>
      <w:bookmarkStart w:id="0" w:name="_Toc275196601"/>
      <w:r w:rsidRPr="00DE7082">
        <w:rPr>
          <w:rFonts w:cs="B Mitra" w:hint="cs"/>
          <w:sz w:val="32"/>
          <w:szCs w:val="32"/>
          <w:rtl/>
        </w:rPr>
        <w:t>دموکراسي و حکومت ولايت فقيه</w:t>
      </w:r>
      <w:bookmarkEnd w:id="0"/>
    </w:p>
    <w:p w14:paraId="4E155247" w14:textId="77777777" w:rsidR="00DE7082" w:rsidRPr="00DE7082" w:rsidRDefault="00DE7082" w:rsidP="00DE7082">
      <w:pPr>
        <w:pStyle w:val="22"/>
        <w:jc w:val="center"/>
        <w:rPr>
          <w:rFonts w:cs="B Mitra"/>
          <w:sz w:val="32"/>
          <w:szCs w:val="32"/>
          <w:rtl/>
        </w:rPr>
      </w:pPr>
    </w:p>
    <w:p w14:paraId="36097DEA" w14:textId="77777777" w:rsidR="00DE7082" w:rsidRPr="00DE7082" w:rsidRDefault="00DE7082" w:rsidP="00DE7082">
      <w:pPr>
        <w:pBdr>
          <w:top w:val="dotDotDash" w:sz="4" w:space="1" w:color="auto"/>
          <w:bottom w:val="dotDotDash" w:sz="4" w:space="1" w:color="auto"/>
        </w:pBdr>
        <w:spacing w:line="204" w:lineRule="auto"/>
        <w:ind w:left="1985" w:right="1985"/>
        <w:jc w:val="center"/>
        <w:rPr>
          <w:rFonts w:cs="B Mitra"/>
          <w:sz w:val="32"/>
          <w:szCs w:val="32"/>
          <w:rtl/>
        </w:rPr>
      </w:pPr>
      <w:r w:rsidRPr="00DE7082">
        <w:rPr>
          <w:rFonts w:cs="B Mitra" w:hint="cs"/>
          <w:sz w:val="32"/>
          <w:szCs w:val="32"/>
          <w:rtl/>
        </w:rPr>
        <w:t>حجت الاسلام دکتر</w:t>
      </w:r>
    </w:p>
    <w:p w14:paraId="744AA458" w14:textId="7DEE3238" w:rsidR="00DE7082" w:rsidRPr="00DE7082" w:rsidRDefault="00DE7082" w:rsidP="00DE7082">
      <w:pPr>
        <w:pBdr>
          <w:top w:val="dotDotDash" w:sz="4" w:space="1" w:color="auto"/>
          <w:bottom w:val="dotDotDash" w:sz="4" w:space="1" w:color="auto"/>
        </w:pBdr>
        <w:spacing w:line="204" w:lineRule="auto"/>
        <w:ind w:left="1985" w:right="1985"/>
        <w:jc w:val="center"/>
        <w:rPr>
          <w:rFonts w:cs="B Mitra" w:hint="cs"/>
          <w:bCs/>
          <w:sz w:val="32"/>
          <w:szCs w:val="32"/>
          <w:rtl/>
        </w:rPr>
      </w:pPr>
      <w:r w:rsidRPr="00DE7082">
        <w:rPr>
          <w:rFonts w:cs="B Mitra" w:hint="cs"/>
          <w:bCs/>
          <w:sz w:val="32"/>
          <w:szCs w:val="32"/>
          <w:rtl/>
        </w:rPr>
        <w:t xml:space="preserve"> </w:t>
      </w:r>
      <w:r w:rsidRPr="00DE7082">
        <w:rPr>
          <w:rFonts w:cs="B Mitra" w:hint="cs"/>
          <w:bCs/>
          <w:sz w:val="32"/>
          <w:szCs w:val="32"/>
          <w:rtl/>
        </w:rPr>
        <w:t>رحيم لطيفي</w:t>
      </w:r>
    </w:p>
    <w:p w14:paraId="13E75FCC" w14:textId="6E8FAAB1" w:rsidR="00DE7082" w:rsidRPr="00DE7082" w:rsidRDefault="00DE7082" w:rsidP="00DE7082">
      <w:pPr>
        <w:pStyle w:val="22"/>
        <w:rPr>
          <w:rFonts w:cs="B Mitra" w:hint="cs"/>
          <w:sz w:val="32"/>
          <w:szCs w:val="32"/>
          <w:rtl/>
        </w:rPr>
      </w:pPr>
    </w:p>
    <w:p w14:paraId="2D4A363F" w14:textId="37B97015" w:rsidR="00DE7082" w:rsidRPr="00DE7082" w:rsidRDefault="00DE7082" w:rsidP="00DE7082">
      <w:pPr>
        <w:pStyle w:val="a"/>
        <w:rPr>
          <w:rFonts w:cs="B Mitra" w:hint="cs"/>
          <w:sz w:val="32"/>
          <w:szCs w:val="32"/>
          <w:rtl/>
        </w:rPr>
      </w:pPr>
      <w:r w:rsidRPr="00DE7082">
        <w:rPr>
          <w:rFonts w:cs="B Mitra" w:hint="cs"/>
          <w:sz w:val="32"/>
          <w:szCs w:val="32"/>
          <w:rtl/>
        </w:rPr>
        <w:t>امر مشروعيت حکومت و رهبري پس از آغاز غيبت کبري به فقهاء جامع شرايط واگذار شده است و سهم مردم در امر حکومت و رهبري سياسي همان سهمي است که مسلمانان صدر اسلام و عصر ائمه</w:t>
      </w:r>
      <w:r w:rsidRPr="00DE7082">
        <w:rPr>
          <w:rFonts w:cs="B Mitra"/>
          <w:sz w:val="32"/>
          <w:szCs w:val="32"/>
        </w:rPr>
        <w:sym w:font="Alaem" w:char="F03A"/>
      </w:r>
      <w:r w:rsidRPr="00DE7082">
        <w:rPr>
          <w:rFonts w:cs="B Mitra" w:hint="cs"/>
          <w:sz w:val="32"/>
          <w:szCs w:val="32"/>
          <w:rtl/>
        </w:rPr>
        <w:t xml:space="preserve"> داشتند، يعني رأي و انتخاب و مقبوليت مردم در تحقق و پايداري حکومت اسلامي نقش دارد و در طول تاريخ پس از عصر غيبت هر جا چنين اقبال و موقعيتي فراهم شده است فقيهان جامع الشرايط به امر تأسيس حکومت اسلامي همت گماشته اند، هرچند چهره کامل و رسمي چنين حکومتي در عصر حاضر توسط حضرت امام خميني</w:t>
      </w:r>
      <w:bookmarkStart w:id="1" w:name="_Hlk134861998"/>
      <w:r w:rsidRPr="002C1B6F">
        <w:rPr>
          <w:rFonts w:cs="B Mitra" w:hint="cs"/>
          <w:szCs w:val="24"/>
        </w:rPr>
        <w:sym w:font="Alaem" w:char="F03B"/>
      </w:r>
      <w:bookmarkEnd w:id="1"/>
      <w:r w:rsidRPr="00DE7082">
        <w:rPr>
          <w:rFonts w:cs="B Mitra" w:hint="cs"/>
          <w:sz w:val="32"/>
          <w:szCs w:val="32"/>
          <w:rtl/>
        </w:rPr>
        <w:t xml:space="preserve"> بنيان گذاري شد.</w:t>
      </w:r>
    </w:p>
    <w:p w14:paraId="130FC8F6" w14:textId="24E082AA" w:rsidR="00DE7082" w:rsidRPr="00DE7082" w:rsidRDefault="00DE7082" w:rsidP="00DE7082">
      <w:pPr>
        <w:pStyle w:val="a"/>
        <w:rPr>
          <w:rFonts w:cs="B Mitra" w:hint="cs"/>
          <w:sz w:val="32"/>
          <w:szCs w:val="32"/>
          <w:rtl/>
        </w:rPr>
      </w:pPr>
      <w:r w:rsidRPr="00DE7082">
        <w:rPr>
          <w:rFonts w:cs="B Mitra" w:hint="cs"/>
          <w:sz w:val="32"/>
          <w:szCs w:val="32"/>
          <w:rtl/>
        </w:rPr>
        <w:t>امام خميني</w:t>
      </w:r>
      <w:r w:rsidRPr="002C1B6F">
        <w:rPr>
          <w:rFonts w:cs="B Mitra" w:hint="cs"/>
          <w:szCs w:val="24"/>
        </w:rPr>
        <w:sym w:font="Alaem" w:char="F03B"/>
      </w:r>
      <w:r w:rsidRPr="00DE7082">
        <w:rPr>
          <w:rFonts w:cs="B Mitra" w:hint="cs"/>
          <w:sz w:val="32"/>
          <w:szCs w:val="32"/>
          <w:rtl/>
        </w:rPr>
        <w:t xml:space="preserve"> به خوبي نقش مردم و اهميت کار آنان را در حکومت ديني و اصل استقرار آن ترسيم مي‌کند:</w:t>
      </w:r>
    </w:p>
    <w:p w14:paraId="5F9D3013" w14:textId="77777777" w:rsidR="00DE7082" w:rsidRPr="00DE7082" w:rsidRDefault="00DE7082" w:rsidP="00DE7082">
      <w:pPr>
        <w:pStyle w:val="a"/>
        <w:rPr>
          <w:rFonts w:cs="B Mitra" w:hint="cs"/>
          <w:spacing w:val="-4"/>
          <w:sz w:val="32"/>
          <w:szCs w:val="32"/>
          <w:rtl/>
        </w:rPr>
      </w:pPr>
      <w:r w:rsidRPr="00DE7082">
        <w:rPr>
          <w:rFonts w:cs="B Mitra" w:hint="cs"/>
          <w:spacing w:val="-4"/>
          <w:sz w:val="32"/>
          <w:szCs w:val="32"/>
          <w:rtl/>
        </w:rPr>
        <w:t>چون در گذشته براي تشکيل حکومت و برانداختن تسلط حکام خائن و فاسد، به طور دسته جمعي و بالاتفاق قيام نکرديم و بعضي سستي به خرج دادند و حتي از بحث و تبليغ نظريات و نظامات اسلامي مضايقه نمودند، بلکه به عکس به دعا گويي حکام ستمکار پرداختند! اين اوضاع به وجود آمد؛ نفوذ و حاکميت اسلام در جامعه کم شد؛ ملت اسلام دچار تجزيه و ناتواني شد؛ احکام اسلام بي‌اجرا ماند</w:t>
      </w:r>
      <w:r w:rsidRPr="00DE7082">
        <w:rPr>
          <w:rFonts w:ascii="Arial" w:hAnsi="Arial" w:cs="Arial" w:hint="cs"/>
          <w:spacing w:val="-4"/>
          <w:sz w:val="32"/>
          <w:szCs w:val="32"/>
          <w:rtl/>
        </w:rPr>
        <w:t>…</w:t>
      </w:r>
      <w:r w:rsidRPr="00DE7082">
        <w:rPr>
          <w:rStyle w:val="FootnoteReference"/>
          <w:rFonts w:eastAsiaTheme="majorEastAsia" w:cs="B Mitra"/>
          <w:spacing w:val="-4"/>
          <w:sz w:val="32"/>
          <w:szCs w:val="32"/>
          <w:rtl/>
        </w:rPr>
        <w:footnoteReference w:id="1"/>
      </w:r>
    </w:p>
    <w:p w14:paraId="2C4A3746" w14:textId="77777777" w:rsidR="00DE7082" w:rsidRPr="00DE7082" w:rsidRDefault="00DE7082" w:rsidP="00DE7082">
      <w:pPr>
        <w:pStyle w:val="a"/>
        <w:rPr>
          <w:rFonts w:cs="B Mitra" w:hint="cs"/>
          <w:spacing w:val="-8"/>
          <w:sz w:val="32"/>
          <w:szCs w:val="32"/>
          <w:rtl/>
        </w:rPr>
      </w:pPr>
      <w:r w:rsidRPr="00DE7082">
        <w:rPr>
          <w:rFonts w:cs="B Mitra" w:hint="cs"/>
          <w:spacing w:val="-8"/>
          <w:sz w:val="32"/>
          <w:szCs w:val="32"/>
          <w:rtl/>
        </w:rPr>
        <w:t>يکي از صاحب نظران همين بحث را از زوايه ديگر چنين پي گيري کرده است:</w:t>
      </w:r>
    </w:p>
    <w:p w14:paraId="36374143" w14:textId="77777777" w:rsidR="00DE7082" w:rsidRPr="00DE7082" w:rsidRDefault="00DE7082" w:rsidP="00DE7082">
      <w:pPr>
        <w:pStyle w:val="a"/>
        <w:rPr>
          <w:rFonts w:cs="B Mitra" w:hint="cs"/>
          <w:sz w:val="32"/>
          <w:szCs w:val="32"/>
          <w:rtl/>
        </w:rPr>
      </w:pPr>
      <w:r w:rsidRPr="00DE7082">
        <w:rPr>
          <w:rFonts w:cs="B Mitra" w:hint="cs"/>
          <w:sz w:val="32"/>
          <w:szCs w:val="32"/>
          <w:rtl/>
        </w:rPr>
        <w:t>در عصر غيبت، خداوند عالم و شارع مقدس، طبق مبناي ولايت فقيه، در بحث حاکميت دو دسته حقوق را در عرض هم جعل مي‌کند: حقوقي براي مردم و حقوقي براي حاکمان منصوب (ولي فقيه). مشروعيت اين حقوق، وابسته به هم نيست. مشروعيت حقوق مردم، وابسته به اذن ولي فقيه نيست وبالعکس. بلکه همان طور که ولي فقيه، مشروعيت خود را بلاواسطه از شارع اخذ مي‌کند، مردم نيز حقوق خود را از شارع دريافت مي‌کنند، نه از ولي فقيه.</w:t>
      </w:r>
    </w:p>
    <w:p w14:paraId="00CF7019" w14:textId="77777777" w:rsidR="00DE7082" w:rsidRPr="00DE7082" w:rsidRDefault="00DE7082" w:rsidP="00DE7082">
      <w:pPr>
        <w:pStyle w:val="a"/>
        <w:rPr>
          <w:rFonts w:cs="B Mitra" w:hint="cs"/>
          <w:sz w:val="32"/>
          <w:szCs w:val="32"/>
          <w:rtl/>
        </w:rPr>
      </w:pPr>
      <w:r w:rsidRPr="00DE7082">
        <w:rPr>
          <w:rFonts w:cs="B Mitra" w:hint="cs"/>
          <w:sz w:val="32"/>
          <w:szCs w:val="32"/>
          <w:rtl/>
        </w:rPr>
        <w:t>در واقع، موضوع حاکميت، دو چهره دارد: يک چهره آن، به ولي فقيه مربوط است و چهره دوم، به مردم مرتبط است.</w:t>
      </w:r>
    </w:p>
    <w:p w14:paraId="310C30DF" w14:textId="77777777" w:rsidR="00DE7082" w:rsidRPr="00DE7082" w:rsidRDefault="00DE7082" w:rsidP="00DE7082">
      <w:pPr>
        <w:pStyle w:val="a"/>
        <w:rPr>
          <w:rFonts w:cs="B Mitra" w:hint="cs"/>
          <w:sz w:val="32"/>
          <w:szCs w:val="32"/>
          <w:rtl/>
        </w:rPr>
      </w:pPr>
      <w:r w:rsidRPr="00DE7082">
        <w:rPr>
          <w:rFonts w:cs="B Mitra" w:hint="cs"/>
          <w:sz w:val="32"/>
          <w:szCs w:val="32"/>
          <w:rtl/>
        </w:rPr>
        <w:t xml:space="preserve">آن روي بحث که به ولي فقيه ارتباط پيدا مي‌کند، آن است که اسلام حقّ حاکميت را بدون قيد و شرط و ضابطه رها نکرده است بلکه با عدالت، فقاهت و مديريت شرط شده است. ولي فقيه با اين شرايط، طبق جعل </w:t>
      </w:r>
      <w:r w:rsidRPr="00DE7082">
        <w:rPr>
          <w:rFonts w:cs="B Mitra" w:hint="cs"/>
          <w:sz w:val="32"/>
          <w:szCs w:val="32"/>
          <w:rtl/>
        </w:rPr>
        <w:lastRenderedPageBreak/>
        <w:t>الهي، حقّ ولايت دارد و در صورت فراهم شدن شرايط اجتماعي مكلف به اعمال ولايت است.</w:t>
      </w:r>
    </w:p>
    <w:p w14:paraId="3BBBA0EC" w14:textId="77777777" w:rsidR="00DE7082" w:rsidRPr="00DE7082" w:rsidRDefault="00DE7082" w:rsidP="00DE7082">
      <w:pPr>
        <w:pStyle w:val="a"/>
        <w:rPr>
          <w:rFonts w:cs="B Mitra" w:hint="cs"/>
          <w:sz w:val="32"/>
          <w:szCs w:val="32"/>
          <w:rtl/>
        </w:rPr>
      </w:pPr>
      <w:r w:rsidRPr="00DE7082">
        <w:rPr>
          <w:rFonts w:cs="B Mitra" w:hint="cs"/>
          <w:sz w:val="32"/>
          <w:szCs w:val="32"/>
          <w:rtl/>
        </w:rPr>
        <w:t>روي ديگر بحث، آن است که مردم داراي دو نقش اساسي هستند: يک نقش در مرحله ايجاد حاکميت و نقش دوم در مرحله استمرار آن. در نقش يکم، مردم حقّ دارند و موظّف‌اند که مقدمات ايجاد حکومت اسلامي و به جريان انداختن قوانين ديني را فراهم آورند. براي اين مهم، نخست بايد حاکم جامع الشرائط و مرضي شارع را شناسايي و تشخيص دهند. براي اين کار، به فقيه و ولي شناسان رجوع مي‌کنند و از نظرات کارشناسانه ايشان سود مي‌برند و پس از شناسايي و اعلام، شرايط را براي اعمال ولايت وي فراهم مي‌آورند.</w:t>
      </w:r>
    </w:p>
    <w:p w14:paraId="28194EC5" w14:textId="77777777" w:rsidR="00DE7082" w:rsidRPr="00DE7082" w:rsidRDefault="00DE7082" w:rsidP="00DE7082">
      <w:pPr>
        <w:pStyle w:val="a"/>
        <w:rPr>
          <w:rFonts w:cs="B Mitra" w:hint="cs"/>
          <w:sz w:val="32"/>
          <w:szCs w:val="32"/>
          <w:rtl/>
        </w:rPr>
      </w:pPr>
      <w:r w:rsidRPr="00DE7082">
        <w:rPr>
          <w:rFonts w:cs="B Mitra" w:hint="cs"/>
          <w:sz w:val="32"/>
          <w:szCs w:val="32"/>
          <w:rtl/>
        </w:rPr>
        <w:t>مردم در اين نقش اساسي ـ که به خبرگان مراجعه مي‌کنند ـ نيازمند اذن ولي فقيه نيستند، بلکه اين کار را به اذن الهي و با مشروعيت ديني، به عنوان مقدمه واجب انجام مي‌دهند؛ چون شارع، مردم را به ايجاد حکومت اسلامي موظف کرده است و مردم براي اداي تکليف، مقدمات آن را فراهم مي‌کنند.</w:t>
      </w:r>
    </w:p>
    <w:p w14:paraId="6DEFB33B" w14:textId="77777777" w:rsidR="00DE7082" w:rsidRPr="00DE7082" w:rsidRDefault="00DE7082" w:rsidP="00DE7082">
      <w:pPr>
        <w:pStyle w:val="a"/>
        <w:rPr>
          <w:rFonts w:cs="B Mitra" w:hint="cs"/>
          <w:sz w:val="32"/>
          <w:szCs w:val="32"/>
          <w:rtl/>
        </w:rPr>
      </w:pPr>
      <w:r w:rsidRPr="00DE7082">
        <w:rPr>
          <w:rFonts w:cs="B Mitra" w:hint="cs"/>
          <w:sz w:val="32"/>
          <w:szCs w:val="32"/>
          <w:rtl/>
        </w:rPr>
        <w:t>نقش دوم مردم، مربوط به مرحله استمرار حاکميت است، چون حاکم بايد در طول تصدّي حاکميت خود، همواره داراي شرايط و ضوابطي باشد که از طرف دين تعيين شده است، پس مردم مستقيم و يا غير مستقيم (از طريق خبرگان) به اعمال نظارت مي‌پردازند.</w:t>
      </w:r>
      <w:r w:rsidRPr="00DE7082">
        <w:rPr>
          <w:rStyle w:val="FootnoteReference"/>
          <w:rFonts w:eastAsiaTheme="majorEastAsia" w:cs="B Mitra"/>
          <w:sz w:val="32"/>
          <w:szCs w:val="32"/>
          <w:rtl/>
        </w:rPr>
        <w:footnoteReference w:id="2"/>
      </w:r>
    </w:p>
    <w:p w14:paraId="1FBBCC35" w14:textId="77777777" w:rsidR="00DE7082" w:rsidRPr="00DE7082" w:rsidRDefault="00DE7082" w:rsidP="00DE7082">
      <w:pPr>
        <w:pStyle w:val="a"/>
        <w:rPr>
          <w:rFonts w:cs="B Mitra" w:hint="cs"/>
          <w:sz w:val="32"/>
          <w:szCs w:val="32"/>
          <w:rtl/>
        </w:rPr>
      </w:pPr>
      <w:r w:rsidRPr="00DE7082">
        <w:rPr>
          <w:rFonts w:cs="B Mitra" w:hint="cs"/>
          <w:sz w:val="32"/>
          <w:szCs w:val="32"/>
          <w:rtl/>
        </w:rPr>
        <w:t>«در نظام اسلامي که مردم ديندارند و مي‌خواهند زندگي فردي و اجتماعي خود را با دين و قوانين ديني هماهنگ کنند، اين مردم، در عصر غيبت که امام معصوم</w:t>
      </w:r>
      <w:r w:rsidRPr="00DE7082">
        <w:rPr>
          <w:rFonts w:cs="B Mitra" w:hint="cs"/>
          <w:sz w:val="32"/>
          <w:szCs w:val="32"/>
        </w:rPr>
        <w:sym w:font="Alaem" w:char="F037"/>
      </w:r>
      <w:r w:rsidRPr="00DE7082">
        <w:rPr>
          <w:rFonts w:cs="B Mitra" w:hint="cs"/>
          <w:sz w:val="32"/>
          <w:szCs w:val="32"/>
          <w:rtl/>
        </w:rPr>
        <w:t xml:space="preserve"> حضور و ظهور ندارد، يک مکتب شناسي را که در اعتقاد و عمل مثل آنان معتقد و عامل به دين است و از سوي شارع مقدس براي ولايت بر جامعة الهي، به نحو عام منصوب شده پيدا مي‌کنند و ولايت او را مي‌پذيرند. مي‌گويند تو که برابر مکتب حکم مي‌کني، ما در حقيقت ولايت تو را که شخص معين هستي قبول نکرده ايم، بلکه ولايت فقاهت و عدالت را پذيرفته‌ايم؛ ما پيرو فقاهت هستيم که تو نيز پيرو همان فقاهت هستي. ما تابع عدالت هستيم که تو نيز از آن پيروي مي‌نمائي؛ تو از آن جهت که يک انسان و يک شهروند هستي، در پيروي از قانون الهي يعني فقاهت و عدالت، مثل مايي. اين مطلب، در قانون اساسي، در اصل يکصد و هفتم آمده است: «رهبر در برابر قوانين با ساير افراد کشور مساوي است». بنابراين، رهبر اسلامي، از سوي دين ولايت دارد نه آنکه مانند کشورهاي غربي و شرقي وکيل مردم باشد....</w:t>
      </w:r>
      <w:r w:rsidRPr="00DE7082">
        <w:rPr>
          <w:rStyle w:val="FootnoteReference"/>
          <w:rFonts w:eastAsiaTheme="majorEastAsia" w:cs="B Mitra"/>
          <w:sz w:val="32"/>
          <w:szCs w:val="32"/>
          <w:rtl/>
        </w:rPr>
        <w:footnoteReference w:id="3"/>
      </w:r>
    </w:p>
    <w:p w14:paraId="0295C4C8" w14:textId="26EB9FE9" w:rsidR="00DE7082" w:rsidRPr="00DE7082" w:rsidRDefault="00DE7082" w:rsidP="00DE7082">
      <w:pPr>
        <w:pStyle w:val="a"/>
        <w:rPr>
          <w:rFonts w:cs="B Mitra" w:hint="cs"/>
          <w:sz w:val="32"/>
          <w:szCs w:val="32"/>
          <w:rtl/>
        </w:rPr>
      </w:pPr>
      <w:r w:rsidRPr="00DE7082">
        <w:rPr>
          <w:rFonts w:cs="B Mitra" w:hint="cs"/>
          <w:sz w:val="32"/>
          <w:szCs w:val="32"/>
          <w:rtl/>
        </w:rPr>
        <w:t>بازخواني نظر امام خميني</w:t>
      </w:r>
      <w:r w:rsidRPr="002C1B6F">
        <w:rPr>
          <w:rFonts w:cs="B Mitra" w:hint="cs"/>
          <w:szCs w:val="24"/>
        </w:rPr>
        <w:sym w:font="Alaem" w:char="F03B"/>
      </w:r>
      <w:r w:rsidRPr="00DE7082">
        <w:rPr>
          <w:rFonts w:cs="B Mitra" w:hint="cs"/>
          <w:sz w:val="32"/>
          <w:szCs w:val="32"/>
          <w:rtl/>
        </w:rPr>
        <w:t>، پيرامون ولايت فقيه و نقش مردم در نظام اسلامي، در کنار بررسي چند پاراگراف از قانون اساسي جمهوري اسلامي ايران به خوبي بيانگر مشروعيت الهي و مقبوليت مردم است؛ امام خميني</w:t>
      </w:r>
      <w:r w:rsidRPr="002C1B6F">
        <w:rPr>
          <w:rFonts w:cs="B Mitra" w:hint="cs"/>
          <w:szCs w:val="24"/>
        </w:rPr>
        <w:sym w:font="Alaem" w:char="F03B"/>
      </w:r>
      <w:r w:rsidRPr="00DE7082">
        <w:rPr>
          <w:rFonts w:cs="B Mitra" w:hint="cs"/>
          <w:sz w:val="32"/>
          <w:szCs w:val="32"/>
          <w:rtl/>
        </w:rPr>
        <w:t xml:space="preserve"> با اينکه از لحاظ تئوريک به ولايت عامه و مطلقة انتصابي قائل بود، ولي آراي عمومي را نيز محترم مي‌شمرد و تأکيد فراوان داشت که به نظريات و آراي آنان در تصميم گيرهاي سياسي ـ اجتماعي توجه شود و با انتخابات عمومي، افکار و ديدگاه‌هاي مردم به دست آيد.</w:t>
      </w:r>
    </w:p>
    <w:p w14:paraId="46AAD09F" w14:textId="77777777" w:rsidR="00DE7082" w:rsidRPr="00DE7082" w:rsidRDefault="00DE7082" w:rsidP="00DE7082">
      <w:pPr>
        <w:pStyle w:val="a"/>
        <w:rPr>
          <w:rFonts w:cs="B Mitra" w:hint="cs"/>
          <w:sz w:val="32"/>
          <w:szCs w:val="32"/>
          <w:rtl/>
        </w:rPr>
      </w:pPr>
      <w:r w:rsidRPr="00DE7082">
        <w:rPr>
          <w:rFonts w:cs="B Mitra" w:hint="cs"/>
          <w:sz w:val="32"/>
          <w:szCs w:val="32"/>
          <w:rtl/>
        </w:rPr>
        <w:t>ايشان مي‌فرمايد:</w:t>
      </w:r>
    </w:p>
    <w:p w14:paraId="221244CC" w14:textId="77777777" w:rsidR="00DE7082" w:rsidRPr="00DE7082" w:rsidRDefault="00DE7082" w:rsidP="00DE7082">
      <w:pPr>
        <w:pStyle w:val="a4"/>
        <w:rPr>
          <w:rFonts w:cs="B Mitra" w:hint="cs"/>
          <w:sz w:val="32"/>
          <w:szCs w:val="32"/>
          <w:rtl/>
        </w:rPr>
      </w:pPr>
      <w:r w:rsidRPr="00DE7082">
        <w:rPr>
          <w:rFonts w:cs="B Mitra" w:hint="cs"/>
          <w:sz w:val="32"/>
          <w:szCs w:val="32"/>
          <w:rtl/>
        </w:rPr>
        <w:t xml:space="preserve">حکومت اسلامي، حکومتي است که اولا صد در صد متکي به آراي ملت باشد؛ به شيوه‌اي که </w:t>
      </w:r>
      <w:r w:rsidRPr="00DE7082">
        <w:rPr>
          <w:rFonts w:cs="B Mitra" w:hint="cs"/>
          <w:sz w:val="32"/>
          <w:szCs w:val="32"/>
          <w:rtl/>
        </w:rPr>
        <w:lastRenderedPageBreak/>
        <w:t>هر فرد ايراني احساس کند با رأي خود سرنوشت خود و کشور خود را مي‌سازد و چون اکثريت قاطع اين ملت مسلمان‌اند، بديهي است که بايد موازين و قواعد اسلامي در همة زمينه‌ها رعايت شود.</w:t>
      </w:r>
      <w:r w:rsidRPr="00DE7082">
        <w:rPr>
          <w:rStyle w:val="FootnoteReference"/>
          <w:rFonts w:eastAsiaTheme="majorEastAsia" w:cs="B Mitra"/>
          <w:sz w:val="32"/>
          <w:szCs w:val="32"/>
          <w:rtl/>
        </w:rPr>
        <w:footnoteReference w:id="4"/>
      </w:r>
    </w:p>
    <w:p w14:paraId="31E61935" w14:textId="77777777" w:rsidR="00DE7082" w:rsidRPr="00DE7082" w:rsidRDefault="00DE7082" w:rsidP="00DE7082">
      <w:pPr>
        <w:pStyle w:val="a"/>
        <w:rPr>
          <w:rFonts w:cs="B Mitra" w:hint="cs"/>
          <w:sz w:val="32"/>
          <w:szCs w:val="32"/>
          <w:rtl/>
        </w:rPr>
      </w:pPr>
      <w:r w:rsidRPr="00DE7082">
        <w:rPr>
          <w:rFonts w:cs="B Mitra" w:hint="cs"/>
          <w:sz w:val="32"/>
          <w:szCs w:val="32"/>
          <w:rtl/>
        </w:rPr>
        <w:t>و در جاي ديگر مي‌فرمايد:</w:t>
      </w:r>
    </w:p>
    <w:p w14:paraId="6361CA96" w14:textId="77777777" w:rsidR="00DE7082" w:rsidRPr="00DE7082" w:rsidRDefault="00DE7082" w:rsidP="00DE7082">
      <w:pPr>
        <w:pStyle w:val="a4"/>
        <w:rPr>
          <w:rFonts w:cs="B Mitra" w:hint="cs"/>
          <w:sz w:val="32"/>
          <w:szCs w:val="32"/>
          <w:rtl/>
        </w:rPr>
      </w:pPr>
      <w:r w:rsidRPr="00DE7082">
        <w:rPr>
          <w:rFonts w:cs="B Mitra" w:hint="cs"/>
          <w:sz w:val="32"/>
          <w:szCs w:val="32"/>
          <w:rtl/>
        </w:rPr>
        <w:t>اما شکل حکومت ما جمهوري اسلامي است. جمهوري به معناي اينکه متکي به آراي اکثريت و اسلامي براي اينکه متکي به قانون اسلامي است.</w:t>
      </w:r>
      <w:r w:rsidRPr="00DE7082">
        <w:rPr>
          <w:rStyle w:val="FootnoteReference"/>
          <w:rFonts w:eastAsiaTheme="majorEastAsia" w:cs="B Mitra"/>
          <w:sz w:val="32"/>
          <w:szCs w:val="32"/>
          <w:rtl/>
        </w:rPr>
        <w:footnoteReference w:id="5"/>
      </w:r>
    </w:p>
    <w:p w14:paraId="39A5CF82" w14:textId="77777777" w:rsidR="00DE7082" w:rsidRPr="00DE7082" w:rsidRDefault="00DE7082" w:rsidP="00DE7082">
      <w:pPr>
        <w:pStyle w:val="a"/>
        <w:rPr>
          <w:rFonts w:cs="B Mitra" w:hint="cs"/>
          <w:sz w:val="32"/>
          <w:szCs w:val="32"/>
          <w:rtl/>
        </w:rPr>
      </w:pPr>
      <w:r w:rsidRPr="00DE7082">
        <w:rPr>
          <w:rFonts w:cs="B Mitra" w:hint="cs"/>
          <w:sz w:val="32"/>
          <w:szCs w:val="32"/>
          <w:rtl/>
        </w:rPr>
        <w:t>بنابراين افزون بر برخورداري از مشروعيت الاهي مستلزم مقبوليت مردم نيز هست.</w:t>
      </w:r>
    </w:p>
    <w:p w14:paraId="29168119" w14:textId="77777777" w:rsidR="00DE7082" w:rsidRPr="00DE7082" w:rsidRDefault="00DE7082" w:rsidP="00DE7082">
      <w:pPr>
        <w:pStyle w:val="a"/>
        <w:rPr>
          <w:rFonts w:cs="B Mitra" w:hint="cs"/>
          <w:sz w:val="32"/>
          <w:szCs w:val="32"/>
          <w:rtl/>
        </w:rPr>
      </w:pPr>
      <w:r w:rsidRPr="00DE7082">
        <w:rPr>
          <w:rFonts w:cs="B Mitra" w:hint="cs"/>
          <w:sz w:val="32"/>
          <w:szCs w:val="32"/>
          <w:rtl/>
        </w:rPr>
        <w:t>در قانون اساسي جمهوري اسلامي ايران نيز ولايت فقيه با حاکميت ملت قرين گشته و به عنوان دو اصل مهم به دنبال هم ذکر شده‌اند. در اصل پنجم قانون اساسي تصريح شده است:</w:t>
      </w:r>
    </w:p>
    <w:p w14:paraId="5F6371E0" w14:textId="77777777" w:rsidR="00DE7082" w:rsidRPr="00DE7082" w:rsidRDefault="00DE7082" w:rsidP="00DE7082">
      <w:pPr>
        <w:pStyle w:val="a4"/>
        <w:rPr>
          <w:rFonts w:cs="B Mitra" w:hint="cs"/>
          <w:sz w:val="32"/>
          <w:szCs w:val="32"/>
          <w:rtl/>
        </w:rPr>
      </w:pPr>
      <w:r w:rsidRPr="00DE7082">
        <w:rPr>
          <w:rFonts w:cs="B Mitra" w:hint="cs"/>
          <w:sz w:val="32"/>
          <w:szCs w:val="32"/>
          <w:rtl/>
        </w:rPr>
        <w:t>«در زمان غيبت حضرت ولي عصر</w:t>
      </w:r>
      <w:r w:rsidRPr="00DE7082">
        <w:rPr>
          <w:rFonts w:cs="B Mitra" w:hint="cs"/>
          <w:sz w:val="32"/>
          <w:szCs w:val="32"/>
        </w:rPr>
        <w:sym w:font="Alaem" w:char="F034"/>
      </w:r>
      <w:r w:rsidRPr="00DE7082">
        <w:rPr>
          <w:rFonts w:cs="B Mitra" w:hint="cs"/>
          <w:sz w:val="32"/>
          <w:szCs w:val="32"/>
          <w:rtl/>
        </w:rPr>
        <w:t xml:space="preserve"> در جمهوري اسلامي ايران، ولايت امر و امامت امت بر عهدة فقيه عادل و باتقوا، آگاه به زمان، شجاع، مدير و مدبر است که طبق اصل يک صد و هفتم عهده دار آن مي‌گردد».</w:t>
      </w:r>
    </w:p>
    <w:p w14:paraId="05147765" w14:textId="77777777" w:rsidR="00DE7082" w:rsidRPr="00DE7082" w:rsidRDefault="00DE7082" w:rsidP="00DE7082">
      <w:pPr>
        <w:pStyle w:val="a"/>
        <w:rPr>
          <w:rFonts w:cs="B Mitra" w:hint="cs"/>
          <w:sz w:val="32"/>
          <w:szCs w:val="32"/>
          <w:rtl/>
        </w:rPr>
      </w:pPr>
      <w:r w:rsidRPr="00DE7082">
        <w:rPr>
          <w:rFonts w:cs="B Mitra" w:hint="cs"/>
          <w:sz w:val="32"/>
          <w:szCs w:val="32"/>
          <w:rtl/>
        </w:rPr>
        <w:t>و بلافاصله در اصل ششم نيز تاکيد شده است که:</w:t>
      </w:r>
    </w:p>
    <w:p w14:paraId="7D350912" w14:textId="77777777" w:rsidR="00DE7082" w:rsidRPr="00DE7082" w:rsidRDefault="00DE7082" w:rsidP="00DE7082">
      <w:pPr>
        <w:pStyle w:val="a4"/>
        <w:rPr>
          <w:rFonts w:cs="B Mitra" w:hint="cs"/>
          <w:sz w:val="32"/>
          <w:szCs w:val="32"/>
          <w:rtl/>
        </w:rPr>
      </w:pPr>
      <w:r w:rsidRPr="00DE7082">
        <w:rPr>
          <w:rFonts w:cs="B Mitra" w:hint="cs"/>
          <w:sz w:val="32"/>
          <w:szCs w:val="32"/>
          <w:rtl/>
        </w:rPr>
        <w:t>«در جمهوري اسلامي ايران، امور کشور به اتکاي آراي عمومي اداره مي‌شود. از راه انتخاب رئيس جمهور، نمايندگان مجلس شوراي اسلامي، اعضاي شوراها و نظاير آن، يا از راه همه پرسي در مواردي که در اصول ديگر اين قانون معين مي‌گردد. بنابراين در قانون اساسي، مشروعيت الاهي حکومت با حق حاکميت ملت جمع شده و سازگار است. اين سازگاري در اصول متعددي از قانون اساسي مشهود است».</w:t>
      </w:r>
      <w:r w:rsidRPr="00DE7082">
        <w:rPr>
          <w:rStyle w:val="FootnoteReference"/>
          <w:rFonts w:eastAsiaTheme="majorEastAsia" w:cs="B Mitra"/>
          <w:sz w:val="32"/>
          <w:szCs w:val="32"/>
          <w:rtl/>
        </w:rPr>
        <w:footnoteReference w:id="6"/>
      </w:r>
    </w:p>
    <w:p w14:paraId="76A9FE42" w14:textId="77777777" w:rsidR="00DE7082" w:rsidRPr="00DE7082" w:rsidRDefault="00DE7082" w:rsidP="00DE7082">
      <w:pPr>
        <w:pStyle w:val="a"/>
        <w:rPr>
          <w:rFonts w:cs="B Mitra" w:hint="cs"/>
          <w:sz w:val="32"/>
          <w:szCs w:val="32"/>
          <w:rtl/>
        </w:rPr>
      </w:pPr>
      <w:r w:rsidRPr="00DE7082">
        <w:rPr>
          <w:rFonts w:cs="B Mitra" w:hint="cs"/>
          <w:sz w:val="32"/>
          <w:szCs w:val="32"/>
          <w:rtl/>
        </w:rPr>
        <w:t>خدايي و الهي بودن حقانيت و مشروعيت حاکم و حکومت، از منظر و ديدگاه يک فرد مسلمان، هيچ‌گاه با حق اختيار و حاکميتش بر سرنوشت خودش منافاتي ندارد.</w:t>
      </w:r>
    </w:p>
    <w:p w14:paraId="7C6537C2" w14:textId="77777777" w:rsidR="007331F3" w:rsidRPr="00DE7082" w:rsidRDefault="007331F3">
      <w:pPr>
        <w:rPr>
          <w:rFonts w:cs="B Mitra"/>
          <w:sz w:val="32"/>
          <w:szCs w:val="32"/>
        </w:rPr>
      </w:pPr>
    </w:p>
    <w:sectPr w:rsidR="007331F3" w:rsidRPr="00DE708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CE41A8" w14:textId="77777777" w:rsidR="00223B38" w:rsidRDefault="00223B38" w:rsidP="00DE7082">
      <w:pPr>
        <w:spacing w:after="0" w:line="240" w:lineRule="auto"/>
      </w:pPr>
      <w:r>
        <w:separator/>
      </w:r>
    </w:p>
  </w:endnote>
  <w:endnote w:type="continuationSeparator" w:id="0">
    <w:p w14:paraId="21581023" w14:textId="77777777" w:rsidR="00223B38" w:rsidRDefault="00223B38" w:rsidP="00DE70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 Karim">
    <w:altName w:val="Arial"/>
    <w:charset w:val="B2"/>
    <w:family w:val="auto"/>
    <w:pitch w:val="variable"/>
    <w:sig w:usb0="00002001" w:usb1="80000000" w:usb2="00000008" w:usb3="00000000" w:csb0="00000040" w:csb1="00000000"/>
  </w:font>
  <w:font w:name="B Badr">
    <w:panose1 w:val="00000400000000000000"/>
    <w:charset w:val="B2"/>
    <w:family w:val="auto"/>
    <w:pitch w:val="variable"/>
    <w:sig w:usb0="00002001" w:usb1="80000000" w:usb2="00000008" w:usb3="00000000" w:csb0="00000040" w:csb1="00000000"/>
  </w:font>
  <w:font w:name="B Lotus">
    <w:panose1 w:val="00000400000000000000"/>
    <w:charset w:val="B2"/>
    <w:family w:val="auto"/>
    <w:pitch w:val="variable"/>
    <w:sig w:usb0="00002001" w:usb1="80000000" w:usb2="00000008" w:usb3="00000000" w:csb0="00000040" w:csb1="00000000"/>
  </w:font>
  <w:font w:name="B Mitra">
    <w:panose1 w:val="00000400000000000000"/>
    <w:charset w:val="B2"/>
    <w:family w:val="auto"/>
    <w:pitch w:val="variable"/>
    <w:sig w:usb0="00002001" w:usb1="80000000" w:usb2="00000008" w:usb3="00000000" w:csb0="00000040" w:csb1="00000000"/>
  </w:font>
  <w:font w:name="Alaem">
    <w:panose1 w:val="00000400000000000000"/>
    <w:charset w:val="02"/>
    <w:family w:val="auto"/>
    <w:pitch w:val="variable"/>
    <w:sig w:usb0="00000000" w:usb1="10000000" w:usb2="00000000" w:usb3="00000000" w:csb0="80000000" w:csb1="00000000"/>
  </w:font>
  <w:font w:name="IRBadr">
    <w:altName w:val="Arial"/>
    <w:charset w:val="00"/>
    <w:family w:val="auto"/>
    <w:pitch w:val="variable"/>
    <w:sig w:usb0="00002003" w:usb1="00000000" w:usb2="00000000" w:usb3="00000000" w:csb0="0000004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844BD8" w14:textId="77777777" w:rsidR="00223B38" w:rsidRDefault="00223B38" w:rsidP="00DE7082">
      <w:pPr>
        <w:spacing w:after="0" w:line="240" w:lineRule="auto"/>
      </w:pPr>
      <w:r>
        <w:separator/>
      </w:r>
    </w:p>
  </w:footnote>
  <w:footnote w:type="continuationSeparator" w:id="0">
    <w:p w14:paraId="45B7E782" w14:textId="77777777" w:rsidR="00223B38" w:rsidRDefault="00223B38" w:rsidP="00DE7082">
      <w:pPr>
        <w:spacing w:after="0" w:line="240" w:lineRule="auto"/>
      </w:pPr>
      <w:r>
        <w:continuationSeparator/>
      </w:r>
    </w:p>
  </w:footnote>
  <w:footnote w:id="1">
    <w:p w14:paraId="728C1A97" w14:textId="77777777" w:rsidR="00DE7082" w:rsidRPr="004701C4" w:rsidRDefault="00DE7082" w:rsidP="00DE7082">
      <w:pPr>
        <w:pStyle w:val="a2"/>
        <w:spacing w:line="240" w:lineRule="auto"/>
        <w:rPr>
          <w:rFonts w:ascii="IRBadr" w:hAnsi="IRBadr" w:cs="IRBadr"/>
          <w:sz w:val="22"/>
          <w:lang w:bidi="fa-IR"/>
        </w:rPr>
      </w:pPr>
      <w:r w:rsidRPr="004701C4">
        <w:rPr>
          <w:rStyle w:val="FootnoteReference"/>
          <w:rFonts w:ascii="IRBadr" w:eastAsiaTheme="majorEastAsia" w:hAnsi="IRBadr" w:cs="IRBadr"/>
          <w:sz w:val="22"/>
        </w:rPr>
        <w:footnoteRef/>
      </w:r>
      <w:r w:rsidRPr="004701C4">
        <w:rPr>
          <w:rFonts w:ascii="IRBadr" w:hAnsi="IRBadr" w:cs="IRBadr"/>
          <w:sz w:val="22"/>
          <w:rtl/>
        </w:rPr>
        <w:t>.</w:t>
      </w:r>
      <w:r w:rsidRPr="004701C4">
        <w:rPr>
          <w:rFonts w:ascii="IRBadr" w:hAnsi="IRBadr" w:cs="IRBadr"/>
          <w:sz w:val="22"/>
          <w:rtl/>
          <w:lang w:bidi="fa-IR"/>
        </w:rPr>
        <w:t xml:space="preserve"> امام خميني، </w:t>
      </w:r>
      <w:r w:rsidRPr="004701C4">
        <w:rPr>
          <w:rStyle w:val="Char3"/>
          <w:rFonts w:ascii="IRBadr" w:hAnsi="IRBadr" w:cs="IRBadr"/>
          <w:bCs w:val="0"/>
          <w:sz w:val="22"/>
          <w:rtl/>
        </w:rPr>
        <w:t>ولايت فقيه</w:t>
      </w:r>
      <w:r w:rsidRPr="004701C4">
        <w:rPr>
          <w:rFonts w:ascii="IRBadr" w:hAnsi="IRBadr" w:cs="IRBadr"/>
          <w:sz w:val="22"/>
          <w:rtl/>
          <w:lang w:bidi="fa-IR"/>
        </w:rPr>
        <w:t>، 32.</w:t>
      </w:r>
    </w:p>
  </w:footnote>
  <w:footnote w:id="2">
    <w:p w14:paraId="03E5135D" w14:textId="77777777" w:rsidR="00DE7082" w:rsidRPr="004701C4" w:rsidRDefault="00DE7082" w:rsidP="00DE7082">
      <w:pPr>
        <w:pStyle w:val="a2"/>
        <w:spacing w:line="240" w:lineRule="auto"/>
        <w:rPr>
          <w:rFonts w:ascii="IRBadr" w:hAnsi="IRBadr" w:cs="IRBadr"/>
          <w:sz w:val="22"/>
          <w:lang w:bidi="fa-IR"/>
        </w:rPr>
      </w:pPr>
      <w:r w:rsidRPr="004701C4">
        <w:rPr>
          <w:rStyle w:val="FootnoteReference"/>
          <w:rFonts w:ascii="IRBadr" w:eastAsiaTheme="majorEastAsia" w:hAnsi="IRBadr" w:cs="IRBadr"/>
          <w:sz w:val="22"/>
        </w:rPr>
        <w:footnoteRef/>
      </w:r>
      <w:r w:rsidRPr="004701C4">
        <w:rPr>
          <w:rFonts w:ascii="IRBadr" w:hAnsi="IRBadr" w:cs="IRBadr"/>
          <w:sz w:val="22"/>
          <w:rtl/>
        </w:rPr>
        <w:t>.</w:t>
      </w:r>
      <w:r w:rsidRPr="004701C4">
        <w:rPr>
          <w:rFonts w:ascii="IRBadr" w:hAnsi="IRBadr" w:cs="IRBadr"/>
          <w:sz w:val="22"/>
          <w:rtl/>
          <w:lang w:bidi="fa-IR"/>
        </w:rPr>
        <w:t xml:space="preserve"> جعفر پيشنه فرد، </w:t>
      </w:r>
      <w:r w:rsidRPr="004701C4">
        <w:rPr>
          <w:rStyle w:val="Char3"/>
          <w:rFonts w:ascii="IRBadr" w:hAnsi="IRBadr" w:cs="IRBadr"/>
          <w:bCs w:val="0"/>
          <w:sz w:val="22"/>
          <w:rtl/>
        </w:rPr>
        <w:t>چالش‌هاي فکري نظريه ولايت فقيه</w:t>
      </w:r>
      <w:r w:rsidRPr="004701C4">
        <w:rPr>
          <w:rFonts w:ascii="IRBadr" w:hAnsi="IRBadr" w:cs="IRBadr"/>
          <w:sz w:val="22"/>
          <w:rtl/>
          <w:lang w:bidi="fa-IR"/>
        </w:rPr>
        <w:t>، 58.</w:t>
      </w:r>
    </w:p>
  </w:footnote>
  <w:footnote w:id="3">
    <w:p w14:paraId="062477AF" w14:textId="77777777" w:rsidR="00DE7082" w:rsidRPr="004701C4" w:rsidRDefault="00DE7082" w:rsidP="00DE7082">
      <w:pPr>
        <w:pStyle w:val="a2"/>
        <w:spacing w:line="240" w:lineRule="auto"/>
        <w:rPr>
          <w:rFonts w:ascii="IRBadr" w:hAnsi="IRBadr" w:cs="IRBadr"/>
          <w:sz w:val="22"/>
          <w:lang w:bidi="fa-IR"/>
        </w:rPr>
      </w:pPr>
      <w:r w:rsidRPr="004701C4">
        <w:rPr>
          <w:rStyle w:val="FootnoteReference"/>
          <w:rFonts w:ascii="IRBadr" w:eastAsiaTheme="majorEastAsia" w:hAnsi="IRBadr" w:cs="IRBadr"/>
          <w:sz w:val="22"/>
        </w:rPr>
        <w:footnoteRef/>
      </w:r>
      <w:r w:rsidRPr="004701C4">
        <w:rPr>
          <w:rFonts w:ascii="IRBadr" w:hAnsi="IRBadr" w:cs="IRBadr"/>
          <w:sz w:val="22"/>
          <w:rtl/>
        </w:rPr>
        <w:t>.</w:t>
      </w:r>
      <w:r w:rsidRPr="004701C4">
        <w:rPr>
          <w:rFonts w:ascii="IRBadr" w:hAnsi="IRBadr" w:cs="IRBadr"/>
          <w:sz w:val="22"/>
          <w:rtl/>
          <w:lang w:bidi="fa-IR"/>
        </w:rPr>
        <w:t xml:space="preserve"> جوادي آملي، </w:t>
      </w:r>
      <w:r w:rsidRPr="004701C4">
        <w:rPr>
          <w:rStyle w:val="Char3"/>
          <w:rFonts w:ascii="IRBadr" w:hAnsi="IRBadr" w:cs="IRBadr"/>
          <w:bCs w:val="0"/>
          <w:sz w:val="22"/>
          <w:rtl/>
        </w:rPr>
        <w:t>ولايت فقيه ولايت فقاهت و عدالت</w:t>
      </w:r>
      <w:r w:rsidRPr="004701C4">
        <w:rPr>
          <w:rFonts w:ascii="IRBadr" w:hAnsi="IRBadr" w:cs="IRBadr"/>
          <w:sz w:val="22"/>
          <w:rtl/>
          <w:lang w:bidi="fa-IR"/>
        </w:rPr>
        <w:t>، 402 تا 404.</w:t>
      </w:r>
    </w:p>
  </w:footnote>
  <w:footnote w:id="4">
    <w:p w14:paraId="40101E16" w14:textId="77777777" w:rsidR="00DE7082" w:rsidRPr="004701C4" w:rsidRDefault="00DE7082" w:rsidP="00DE7082">
      <w:pPr>
        <w:pStyle w:val="a2"/>
        <w:spacing w:line="240" w:lineRule="auto"/>
        <w:rPr>
          <w:rFonts w:ascii="IRBadr" w:hAnsi="IRBadr" w:cs="IRBadr"/>
          <w:sz w:val="22"/>
          <w:lang w:bidi="fa-IR"/>
        </w:rPr>
      </w:pPr>
      <w:r w:rsidRPr="004701C4">
        <w:rPr>
          <w:rStyle w:val="FootnoteReference"/>
          <w:rFonts w:ascii="IRBadr" w:eastAsiaTheme="majorEastAsia" w:hAnsi="IRBadr" w:cs="IRBadr"/>
          <w:sz w:val="22"/>
        </w:rPr>
        <w:footnoteRef/>
      </w:r>
      <w:r w:rsidRPr="004701C4">
        <w:rPr>
          <w:rFonts w:ascii="IRBadr" w:hAnsi="IRBadr" w:cs="IRBadr"/>
          <w:sz w:val="22"/>
          <w:rtl/>
        </w:rPr>
        <w:t>.</w:t>
      </w:r>
      <w:r w:rsidRPr="004701C4">
        <w:rPr>
          <w:rFonts w:ascii="IRBadr" w:hAnsi="IRBadr" w:cs="IRBadr"/>
          <w:sz w:val="22"/>
          <w:rtl/>
          <w:lang w:bidi="fa-IR"/>
        </w:rPr>
        <w:t xml:space="preserve"> امام خميني، </w:t>
      </w:r>
      <w:r w:rsidRPr="004701C4">
        <w:rPr>
          <w:rStyle w:val="Char3"/>
          <w:rFonts w:ascii="IRBadr" w:hAnsi="IRBadr" w:cs="IRBadr"/>
          <w:bCs w:val="0"/>
          <w:sz w:val="22"/>
          <w:rtl/>
        </w:rPr>
        <w:t>صحيفه نور</w:t>
      </w:r>
      <w:r w:rsidRPr="004701C4">
        <w:rPr>
          <w:rFonts w:ascii="IRBadr" w:hAnsi="IRBadr" w:cs="IRBadr"/>
          <w:sz w:val="22"/>
          <w:rtl/>
          <w:lang w:bidi="fa-IR"/>
        </w:rPr>
        <w:t>، 3/70 تا 71 و 102 و 115.</w:t>
      </w:r>
    </w:p>
  </w:footnote>
  <w:footnote w:id="5">
    <w:p w14:paraId="455EFD98" w14:textId="77777777" w:rsidR="00DE7082" w:rsidRPr="004701C4" w:rsidRDefault="00DE7082" w:rsidP="00DE7082">
      <w:pPr>
        <w:pStyle w:val="a2"/>
        <w:spacing w:line="240" w:lineRule="auto"/>
        <w:rPr>
          <w:rFonts w:ascii="IRBadr" w:hAnsi="IRBadr" w:cs="IRBadr"/>
          <w:sz w:val="22"/>
          <w:lang w:bidi="fa-IR"/>
        </w:rPr>
      </w:pPr>
      <w:r w:rsidRPr="004701C4">
        <w:rPr>
          <w:rStyle w:val="FootnoteReference"/>
          <w:rFonts w:ascii="IRBadr" w:eastAsiaTheme="majorEastAsia" w:hAnsi="IRBadr" w:cs="IRBadr"/>
          <w:sz w:val="22"/>
        </w:rPr>
        <w:footnoteRef/>
      </w:r>
      <w:r w:rsidRPr="004701C4">
        <w:rPr>
          <w:rFonts w:ascii="IRBadr" w:hAnsi="IRBadr" w:cs="IRBadr"/>
          <w:sz w:val="22"/>
          <w:rtl/>
        </w:rPr>
        <w:t>.</w:t>
      </w:r>
      <w:r w:rsidRPr="004701C4">
        <w:rPr>
          <w:rFonts w:ascii="IRBadr" w:hAnsi="IRBadr" w:cs="IRBadr"/>
          <w:sz w:val="22"/>
          <w:rtl/>
          <w:lang w:bidi="fa-IR"/>
        </w:rPr>
        <w:t xml:space="preserve"> همان، 20 تا 21 و 36 تا 37؛ 2/545 و 568 و 584.</w:t>
      </w:r>
    </w:p>
  </w:footnote>
  <w:footnote w:id="6">
    <w:p w14:paraId="6833949F" w14:textId="77777777" w:rsidR="00DE7082" w:rsidRPr="004701C4" w:rsidRDefault="00DE7082" w:rsidP="00DE7082">
      <w:pPr>
        <w:pStyle w:val="a2"/>
        <w:spacing w:line="240" w:lineRule="auto"/>
        <w:rPr>
          <w:rFonts w:ascii="IRBadr" w:hAnsi="IRBadr" w:cs="IRBadr"/>
          <w:sz w:val="22"/>
          <w:lang w:bidi="fa-IR"/>
        </w:rPr>
      </w:pPr>
      <w:r w:rsidRPr="004701C4">
        <w:rPr>
          <w:rStyle w:val="FootnoteReference"/>
          <w:rFonts w:ascii="IRBadr" w:eastAsiaTheme="majorEastAsia" w:hAnsi="IRBadr" w:cs="IRBadr"/>
          <w:sz w:val="22"/>
        </w:rPr>
        <w:footnoteRef/>
      </w:r>
      <w:r w:rsidRPr="004701C4">
        <w:rPr>
          <w:rFonts w:ascii="IRBadr" w:hAnsi="IRBadr" w:cs="IRBadr"/>
          <w:sz w:val="22"/>
          <w:rtl/>
        </w:rPr>
        <w:t>.</w:t>
      </w:r>
      <w:r w:rsidRPr="004701C4">
        <w:rPr>
          <w:rFonts w:ascii="IRBadr" w:hAnsi="IRBadr" w:cs="IRBadr"/>
          <w:sz w:val="22"/>
          <w:rtl/>
          <w:lang w:bidi="fa-IR"/>
        </w:rPr>
        <w:t xml:space="preserve"> ر.ك: اصل 107 قانون اساسي.</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7082"/>
    <w:rsid w:val="000B5B8A"/>
    <w:rsid w:val="001B45C4"/>
    <w:rsid w:val="001D66A2"/>
    <w:rsid w:val="00223B38"/>
    <w:rsid w:val="007331F3"/>
    <w:rsid w:val="009A59CE"/>
    <w:rsid w:val="00CE5EFD"/>
    <w:rsid w:val="00DE1578"/>
    <w:rsid w:val="00DE7082"/>
    <w:rsid w:val="00F85EE7"/>
    <w:rsid w:val="00FA4D4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0D0F3F"/>
  <w15:chartTrackingRefBased/>
  <w15:docId w15:val="{AAC29496-66C0-4713-9114-942874C924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E708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E708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E708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E708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E708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E708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E708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E708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E708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708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E708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E708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E708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E708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E708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E708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E708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E7082"/>
    <w:rPr>
      <w:rFonts w:eastAsiaTheme="majorEastAsia" w:cstheme="majorBidi"/>
      <w:color w:val="272727" w:themeColor="text1" w:themeTint="D8"/>
    </w:rPr>
  </w:style>
  <w:style w:type="paragraph" w:styleId="Title">
    <w:name w:val="Title"/>
    <w:basedOn w:val="Normal"/>
    <w:next w:val="Normal"/>
    <w:link w:val="TitleChar"/>
    <w:uiPriority w:val="10"/>
    <w:qFormat/>
    <w:rsid w:val="00DE708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E708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E708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E708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E7082"/>
    <w:pPr>
      <w:spacing w:before="160"/>
      <w:jc w:val="center"/>
    </w:pPr>
    <w:rPr>
      <w:i/>
      <w:iCs/>
      <w:color w:val="404040" w:themeColor="text1" w:themeTint="BF"/>
    </w:rPr>
  </w:style>
  <w:style w:type="character" w:customStyle="1" w:styleId="QuoteChar">
    <w:name w:val="Quote Char"/>
    <w:basedOn w:val="DefaultParagraphFont"/>
    <w:link w:val="Quote"/>
    <w:uiPriority w:val="29"/>
    <w:rsid w:val="00DE7082"/>
    <w:rPr>
      <w:i/>
      <w:iCs/>
      <w:color w:val="404040" w:themeColor="text1" w:themeTint="BF"/>
    </w:rPr>
  </w:style>
  <w:style w:type="paragraph" w:styleId="ListParagraph">
    <w:name w:val="List Paragraph"/>
    <w:basedOn w:val="Normal"/>
    <w:uiPriority w:val="34"/>
    <w:qFormat/>
    <w:rsid w:val="00DE7082"/>
    <w:pPr>
      <w:ind w:left="720"/>
      <w:contextualSpacing/>
    </w:pPr>
  </w:style>
  <w:style w:type="character" w:styleId="IntenseEmphasis">
    <w:name w:val="Intense Emphasis"/>
    <w:basedOn w:val="DefaultParagraphFont"/>
    <w:uiPriority w:val="21"/>
    <w:qFormat/>
    <w:rsid w:val="00DE7082"/>
    <w:rPr>
      <w:i/>
      <w:iCs/>
      <w:color w:val="2F5496" w:themeColor="accent1" w:themeShade="BF"/>
    </w:rPr>
  </w:style>
  <w:style w:type="paragraph" w:styleId="IntenseQuote">
    <w:name w:val="Intense Quote"/>
    <w:basedOn w:val="Normal"/>
    <w:next w:val="Normal"/>
    <w:link w:val="IntenseQuoteChar"/>
    <w:uiPriority w:val="30"/>
    <w:qFormat/>
    <w:rsid w:val="00DE708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E7082"/>
    <w:rPr>
      <w:i/>
      <w:iCs/>
      <w:color w:val="2F5496" w:themeColor="accent1" w:themeShade="BF"/>
    </w:rPr>
  </w:style>
  <w:style w:type="character" w:styleId="IntenseReference">
    <w:name w:val="Intense Reference"/>
    <w:basedOn w:val="DefaultParagraphFont"/>
    <w:uiPriority w:val="32"/>
    <w:qFormat/>
    <w:rsid w:val="00DE7082"/>
    <w:rPr>
      <w:b/>
      <w:bCs/>
      <w:smallCaps/>
      <w:color w:val="2F5496" w:themeColor="accent1" w:themeShade="BF"/>
      <w:spacing w:val="5"/>
    </w:rPr>
  </w:style>
  <w:style w:type="character" w:styleId="FootnoteReference">
    <w:name w:val="footnote reference"/>
    <w:semiHidden/>
    <w:rsid w:val="00DE7082"/>
    <w:rPr>
      <w:vertAlign w:val="superscript"/>
    </w:rPr>
  </w:style>
  <w:style w:type="paragraph" w:customStyle="1" w:styleId="a">
    <w:name w:val="متن"/>
    <w:basedOn w:val="Normal"/>
    <w:link w:val="Char"/>
    <w:rsid w:val="00DE7082"/>
    <w:pPr>
      <w:widowControl w:val="0"/>
      <w:bidi/>
      <w:spacing w:after="0" w:line="420" w:lineRule="exact"/>
      <w:ind w:firstLine="284"/>
      <w:jc w:val="lowKashida"/>
    </w:pPr>
    <w:rPr>
      <w:rFonts w:ascii="Times New Roman" w:eastAsia="Times New Roman" w:hAnsi="Times New Roman" w:cs="B Karim"/>
      <w:kern w:val="0"/>
      <w:szCs w:val="27"/>
      <w:lang w:bidi="fa-IR"/>
      <w14:ligatures w14:val="none"/>
    </w:rPr>
  </w:style>
  <w:style w:type="character" w:customStyle="1" w:styleId="Char">
    <w:name w:val="متن Char"/>
    <w:link w:val="a"/>
    <w:rsid w:val="00DE7082"/>
    <w:rPr>
      <w:rFonts w:ascii="Times New Roman" w:eastAsia="Times New Roman" w:hAnsi="Times New Roman" w:cs="B Karim"/>
      <w:kern w:val="0"/>
      <w:szCs w:val="27"/>
      <w:lang w:bidi="fa-IR"/>
      <w14:ligatures w14:val="none"/>
    </w:rPr>
  </w:style>
  <w:style w:type="paragraph" w:customStyle="1" w:styleId="a0">
    <w:name w:val="عربي"/>
    <w:basedOn w:val="a"/>
    <w:link w:val="Char0"/>
    <w:rsid w:val="00DE7082"/>
    <w:rPr>
      <w:rFonts w:cs="B Badr"/>
      <w:bCs/>
      <w:szCs w:val="23"/>
    </w:rPr>
  </w:style>
  <w:style w:type="character" w:customStyle="1" w:styleId="Char0">
    <w:name w:val="عربي Char"/>
    <w:link w:val="a0"/>
    <w:rsid w:val="00DE7082"/>
    <w:rPr>
      <w:rFonts w:ascii="Times New Roman" w:eastAsia="Times New Roman" w:hAnsi="Times New Roman" w:cs="B Badr"/>
      <w:bCs/>
      <w:kern w:val="0"/>
      <w:szCs w:val="23"/>
      <w:lang w:bidi="fa-IR"/>
      <w14:ligatures w14:val="none"/>
    </w:rPr>
  </w:style>
  <w:style w:type="paragraph" w:customStyle="1" w:styleId="a1">
    <w:name w:val="كتاب"/>
    <w:basedOn w:val="a"/>
    <w:link w:val="Char1"/>
    <w:rsid w:val="00DE7082"/>
    <w:rPr>
      <w:b/>
      <w:bCs/>
      <w:i/>
      <w:iCs/>
      <w:sz w:val="22"/>
      <w:szCs w:val="26"/>
    </w:rPr>
  </w:style>
  <w:style w:type="character" w:customStyle="1" w:styleId="Char1">
    <w:name w:val="كتاب Char"/>
    <w:link w:val="a1"/>
    <w:rsid w:val="00DE7082"/>
    <w:rPr>
      <w:rFonts w:ascii="Times New Roman" w:eastAsia="Times New Roman" w:hAnsi="Times New Roman" w:cs="B Karim"/>
      <w:b/>
      <w:bCs/>
      <w:i/>
      <w:iCs/>
      <w:kern w:val="0"/>
      <w:sz w:val="22"/>
      <w:szCs w:val="26"/>
      <w:lang w:bidi="fa-IR"/>
      <w14:ligatures w14:val="none"/>
    </w:rPr>
  </w:style>
  <w:style w:type="paragraph" w:customStyle="1" w:styleId="a2">
    <w:name w:val="پاورقي"/>
    <w:basedOn w:val="FootnoteText"/>
    <w:link w:val="Char2"/>
    <w:rsid w:val="00DE7082"/>
    <w:pPr>
      <w:widowControl w:val="0"/>
      <w:bidi/>
      <w:spacing w:line="260" w:lineRule="exact"/>
      <w:jc w:val="lowKashida"/>
    </w:pPr>
    <w:rPr>
      <w:rFonts w:ascii="Times New Roman" w:eastAsia="Times New Roman" w:hAnsi="Times New Roman" w:cs="B Lotus"/>
      <w:spacing w:val="-4"/>
      <w:kern w:val="0"/>
      <w:szCs w:val="22"/>
      <w14:ligatures w14:val="none"/>
    </w:rPr>
  </w:style>
  <w:style w:type="character" w:customStyle="1" w:styleId="Char2">
    <w:name w:val="پاورقي Char"/>
    <w:link w:val="a2"/>
    <w:rsid w:val="00DE7082"/>
    <w:rPr>
      <w:rFonts w:ascii="Times New Roman" w:eastAsia="Times New Roman" w:hAnsi="Times New Roman" w:cs="B Lotus"/>
      <w:spacing w:val="-4"/>
      <w:kern w:val="0"/>
      <w:sz w:val="20"/>
      <w:szCs w:val="22"/>
      <w14:ligatures w14:val="none"/>
    </w:rPr>
  </w:style>
  <w:style w:type="paragraph" w:customStyle="1" w:styleId="a3">
    <w:name w:val="دفتر"/>
    <w:basedOn w:val="a2"/>
    <w:link w:val="Char3"/>
    <w:rsid w:val="00DE7082"/>
    <w:rPr>
      <w:rFonts w:cs="B Badr"/>
      <w:bCs/>
      <w:iCs/>
      <w:spacing w:val="-2"/>
    </w:rPr>
  </w:style>
  <w:style w:type="character" w:customStyle="1" w:styleId="Char3">
    <w:name w:val="دفتر Char"/>
    <w:link w:val="a3"/>
    <w:rsid w:val="00DE7082"/>
    <w:rPr>
      <w:rFonts w:ascii="Times New Roman" w:eastAsia="Times New Roman" w:hAnsi="Times New Roman" w:cs="B Badr"/>
      <w:bCs/>
      <w:iCs/>
      <w:spacing w:val="-2"/>
      <w:kern w:val="0"/>
      <w:sz w:val="20"/>
      <w:szCs w:val="22"/>
      <w14:ligatures w14:val="none"/>
    </w:rPr>
  </w:style>
  <w:style w:type="paragraph" w:styleId="FootnoteText">
    <w:name w:val="footnote text"/>
    <w:basedOn w:val="Normal"/>
    <w:link w:val="FootnoteTextChar"/>
    <w:uiPriority w:val="99"/>
    <w:semiHidden/>
    <w:unhideWhenUsed/>
    <w:rsid w:val="00DE708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E7082"/>
    <w:rPr>
      <w:sz w:val="20"/>
      <w:szCs w:val="20"/>
    </w:rPr>
  </w:style>
  <w:style w:type="paragraph" w:customStyle="1" w:styleId="22">
    <w:name w:val="22"/>
    <w:basedOn w:val="a"/>
    <w:link w:val="22Char"/>
    <w:rsid w:val="00DE7082"/>
    <w:pPr>
      <w:keepNext/>
      <w:spacing w:before="300"/>
      <w:ind w:firstLine="0"/>
    </w:pPr>
    <w:rPr>
      <w:bCs/>
      <w:sz w:val="26"/>
      <w:szCs w:val="28"/>
    </w:rPr>
  </w:style>
  <w:style w:type="character" w:customStyle="1" w:styleId="22Char">
    <w:name w:val="22 Char"/>
    <w:link w:val="22"/>
    <w:rsid w:val="00DE7082"/>
    <w:rPr>
      <w:rFonts w:ascii="Times New Roman" w:eastAsia="Times New Roman" w:hAnsi="Times New Roman" w:cs="B Karim"/>
      <w:bCs/>
      <w:kern w:val="0"/>
      <w:sz w:val="26"/>
      <w:szCs w:val="28"/>
      <w:lang w:bidi="fa-IR"/>
      <w14:ligatures w14:val="none"/>
    </w:rPr>
  </w:style>
  <w:style w:type="paragraph" w:customStyle="1" w:styleId="a4">
    <w:name w:val="تورفتگی"/>
    <w:basedOn w:val="Normal"/>
    <w:link w:val="Char4"/>
    <w:rsid w:val="00DE7082"/>
    <w:pPr>
      <w:widowControl w:val="0"/>
      <w:bidi/>
      <w:spacing w:after="0" w:line="192" w:lineRule="auto"/>
      <w:ind w:left="851" w:right="284"/>
      <w:jc w:val="lowKashida"/>
    </w:pPr>
    <w:rPr>
      <w:rFonts w:ascii="B Mitra" w:eastAsia="Times New Roman" w:hAnsi="B Mitra" w:cs="B Lotus"/>
      <w:kern w:val="0"/>
      <w:sz w:val="22"/>
      <w:lang w:bidi="fa-IR"/>
      <w14:ligatures w14:val="none"/>
    </w:rPr>
  </w:style>
  <w:style w:type="character" w:customStyle="1" w:styleId="Char4">
    <w:name w:val="تورفتگی Char"/>
    <w:link w:val="a4"/>
    <w:rsid w:val="00DE7082"/>
    <w:rPr>
      <w:rFonts w:ascii="B Mitra" w:eastAsia="Times New Roman" w:hAnsi="B Mitra" w:cs="B Lotus"/>
      <w:kern w:val="0"/>
      <w:sz w:val="22"/>
      <w:lang w:bidi="fa-I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3</Pages>
  <Words>815</Words>
  <Characters>4650</Characters>
  <Application>Microsoft Office Word</Application>
  <DocSecurity>0</DocSecurity>
  <Lines>38</Lines>
  <Paragraphs>10</Paragraphs>
  <ScaleCrop>false</ScaleCrop>
  <Company/>
  <LinksUpToDate>false</LinksUpToDate>
  <CharactersWithSpaces>5455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Taghi Hatami</dc:creator>
  <cp:keywords/>
  <dc:description/>
  <cp:lastModifiedBy>Taghi Hatami</cp:lastModifiedBy>
  <cp:revision>1</cp:revision>
  <dcterms:created xsi:type="dcterms:W3CDTF">2025-10-13T05:08:00Z</dcterms:created>
  <dcterms:modified xsi:type="dcterms:W3CDTF">2025-10-13T05:22:00Z</dcterms:modified>
</cp:coreProperties>
</file>