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66708" w14:textId="77777777" w:rsidR="00DA2484" w:rsidRPr="00D251DB" w:rsidRDefault="00CF7C23" w:rsidP="00E82696">
      <w:pPr>
        <w:bidi/>
        <w:jc w:val="center"/>
        <w:rPr>
          <w:rFonts w:cs="B Nazanin"/>
          <w:color w:val="FF0000"/>
          <w:sz w:val="28"/>
          <w:szCs w:val="28"/>
        </w:rPr>
      </w:pPr>
      <w:r w:rsidRPr="00D251DB">
        <w:rPr>
          <w:rFonts w:cs="B Nazanin"/>
          <w:color w:val="FF0000"/>
          <w:sz w:val="28"/>
          <w:szCs w:val="28"/>
          <w:rtl/>
        </w:rPr>
        <w:t>حضرت فاطمه(س) الگویی برای همه</w:t>
      </w:r>
    </w:p>
    <w:p w14:paraId="310B7593" w14:textId="77777777" w:rsidR="00CF7C23" w:rsidRPr="00D251DB" w:rsidRDefault="00CF7C23" w:rsidP="00E82696">
      <w:pPr>
        <w:bidi/>
        <w:rPr>
          <w:rFonts w:cstheme="minorHAnsi"/>
          <w:sz w:val="28"/>
          <w:szCs w:val="28"/>
        </w:rPr>
      </w:pPr>
      <w:r w:rsidRPr="00D251DB">
        <w:rPr>
          <w:rFonts w:cstheme="minorHAnsi"/>
          <w:sz w:val="28"/>
          <w:szCs w:val="28"/>
          <w:rtl/>
        </w:rPr>
        <w:t>قال المهدی (ع</w:t>
      </w:r>
      <w:r w:rsidR="00E82696" w:rsidRPr="00D251DB">
        <w:rPr>
          <w:rFonts w:cstheme="minorHAnsi"/>
          <w:sz w:val="28"/>
          <w:szCs w:val="28"/>
          <w:rtl/>
        </w:rPr>
        <w:t>ج</w:t>
      </w:r>
      <w:r w:rsidRPr="00D251DB">
        <w:rPr>
          <w:rFonts w:cstheme="minorHAnsi"/>
          <w:sz w:val="28"/>
          <w:szCs w:val="28"/>
          <w:rtl/>
        </w:rPr>
        <w:t xml:space="preserve">) : «فی إبنَةِ رسُولِ اللهِ لِی أسوَهٌ حَسَنَهٌ» </w:t>
      </w:r>
      <w:r w:rsidR="00E82696" w:rsidRPr="00D251DB">
        <w:rPr>
          <w:rStyle w:val="FootnoteReference"/>
          <w:rFonts w:cstheme="minorHAnsi"/>
          <w:sz w:val="28"/>
          <w:szCs w:val="28"/>
          <w:rtl/>
        </w:rPr>
        <w:footnoteReference w:id="1"/>
      </w:r>
    </w:p>
    <w:p w14:paraId="1FAA4FD0" w14:textId="77777777" w:rsidR="00CF7C23" w:rsidRPr="00D251DB" w:rsidRDefault="00CF7C23" w:rsidP="00E82696">
      <w:pPr>
        <w:bidi/>
        <w:rPr>
          <w:rFonts w:cs="B Nazanin"/>
          <w:sz w:val="28"/>
          <w:szCs w:val="28"/>
        </w:rPr>
      </w:pPr>
      <w:r w:rsidRPr="00D251DB">
        <w:rPr>
          <w:rFonts w:cs="B Nazanin"/>
          <w:sz w:val="28"/>
          <w:szCs w:val="28"/>
          <w:rtl/>
        </w:rPr>
        <w:t xml:space="preserve">یکی از چیزهایی که در قرآن به آن تأکید شده، لزوم الگوگیری و الگوپذیری از زندگی اولیاء الهی است. قرآن کریم پیامبر عظیم‌الشأن اسلام </w:t>
      </w:r>
      <w:r w:rsidR="00E82696" w:rsidRPr="00D251DB">
        <w:rPr>
          <w:rFonts w:cs="B Nazanin" w:hint="cs"/>
          <w:sz w:val="28"/>
          <w:szCs w:val="28"/>
          <w:rtl/>
        </w:rPr>
        <w:t>(</w:t>
      </w:r>
      <w:r w:rsidRPr="00D251DB">
        <w:rPr>
          <w:rFonts w:cs="B Nazanin"/>
          <w:sz w:val="28"/>
          <w:szCs w:val="28"/>
          <w:rtl/>
        </w:rPr>
        <w:t>ص) را الگوی شایسته‌ی مؤمنان معرفی می‌کند</w:t>
      </w:r>
      <w:r w:rsidRPr="00D251DB">
        <w:rPr>
          <w:rFonts w:cs="B Nazanin"/>
          <w:sz w:val="28"/>
          <w:szCs w:val="28"/>
        </w:rPr>
        <w:t xml:space="preserve">: </w:t>
      </w:r>
    </w:p>
    <w:p w14:paraId="63C49602" w14:textId="416D4733" w:rsidR="00CF7C23" w:rsidRPr="00D251DB" w:rsidRDefault="00E82696" w:rsidP="00E82696">
      <w:pPr>
        <w:bidi/>
        <w:rPr>
          <w:rFonts w:cstheme="minorHAnsi"/>
          <w:sz w:val="28"/>
          <w:szCs w:val="28"/>
        </w:rPr>
      </w:pPr>
      <w:r w:rsidRPr="00D251DB">
        <w:rPr>
          <w:rFonts w:cstheme="minorHAnsi"/>
          <w:sz w:val="28"/>
          <w:szCs w:val="28"/>
          <w:rtl/>
        </w:rPr>
        <w:t>«</w:t>
      </w:r>
      <w:r w:rsidR="00CF7C23" w:rsidRPr="00D251DB">
        <w:rPr>
          <w:rFonts w:cstheme="minorHAnsi"/>
          <w:sz w:val="28"/>
          <w:szCs w:val="28"/>
          <w:rtl/>
        </w:rPr>
        <w:t>لَقَد کانَ لکُم فی رسولِ اللهِ أسو</w:t>
      </w:r>
      <w:r w:rsidR="00D251DB">
        <w:rPr>
          <w:rFonts w:cstheme="minorHAnsi" w:hint="cs"/>
          <w:sz w:val="28"/>
          <w:szCs w:val="28"/>
          <w:rtl/>
        </w:rPr>
        <w:t>ة</w:t>
      </w:r>
      <w:r w:rsidR="00CF7C23" w:rsidRPr="00D251DB">
        <w:rPr>
          <w:rFonts w:cstheme="minorHAnsi"/>
          <w:sz w:val="28"/>
          <w:szCs w:val="28"/>
          <w:rtl/>
        </w:rPr>
        <w:t xml:space="preserve"> حسن</w:t>
      </w:r>
      <w:r w:rsidR="00D251DB">
        <w:rPr>
          <w:rFonts w:cstheme="minorHAnsi" w:hint="cs"/>
          <w:sz w:val="28"/>
          <w:szCs w:val="28"/>
          <w:rtl/>
        </w:rPr>
        <w:t>ة</w:t>
      </w:r>
      <w:r w:rsidR="00CF7C23" w:rsidRPr="00D251DB">
        <w:rPr>
          <w:rFonts w:cstheme="minorHAnsi"/>
          <w:sz w:val="28"/>
          <w:szCs w:val="28"/>
          <w:rtl/>
        </w:rPr>
        <w:t xml:space="preserve"> لمَن کانَ یَرجُو اللهَ و الیومَ الاخر و ذَکَر الله کَثِیراً</w:t>
      </w:r>
      <w:bookmarkStart w:id="0" w:name="_ftnref1"/>
      <w:r w:rsidRPr="00D251DB">
        <w:rPr>
          <w:rFonts w:cstheme="minorHAnsi"/>
          <w:sz w:val="28"/>
          <w:szCs w:val="28"/>
          <w:rtl/>
        </w:rPr>
        <w:t>»</w:t>
      </w:r>
      <w:bookmarkEnd w:id="0"/>
      <w:r w:rsidRPr="00D251DB">
        <w:rPr>
          <w:rStyle w:val="FootnoteReference"/>
          <w:rFonts w:cstheme="minorHAnsi"/>
          <w:sz w:val="28"/>
          <w:szCs w:val="28"/>
          <w:rtl/>
        </w:rPr>
        <w:footnoteReference w:id="2"/>
      </w:r>
    </w:p>
    <w:p w14:paraId="07BBB474" w14:textId="77777777" w:rsidR="00CF7C23" w:rsidRPr="00D251DB" w:rsidRDefault="00CF7C23" w:rsidP="00DA2484">
      <w:pPr>
        <w:bidi/>
        <w:rPr>
          <w:rFonts w:cs="B Nazanin"/>
          <w:sz w:val="28"/>
          <w:szCs w:val="28"/>
        </w:rPr>
      </w:pPr>
      <w:r w:rsidRPr="00D251DB">
        <w:rPr>
          <w:rFonts w:cs="B Nazanin"/>
          <w:sz w:val="28"/>
          <w:szCs w:val="28"/>
          <w:rtl/>
        </w:rPr>
        <w:t>مسلّماً براى شما در زندگى رسول خدا سرمشق نیکویى است، براى آنها که امید به رحمت خدا و روز رستاخیز دارند و خدا را بسیار یاد مى‌کنند</w:t>
      </w:r>
      <w:r w:rsidRPr="00D251DB">
        <w:rPr>
          <w:rFonts w:cs="B Nazanin"/>
          <w:sz w:val="28"/>
          <w:szCs w:val="28"/>
        </w:rPr>
        <w:t>.</w:t>
      </w:r>
    </w:p>
    <w:p w14:paraId="470684EE" w14:textId="77777777" w:rsidR="00CF7C23" w:rsidRPr="00D251DB" w:rsidRDefault="00CF7C23" w:rsidP="00E82696">
      <w:pPr>
        <w:bidi/>
        <w:rPr>
          <w:rFonts w:cs="B Nazanin"/>
          <w:sz w:val="28"/>
          <w:szCs w:val="28"/>
        </w:rPr>
      </w:pPr>
      <w:r w:rsidRPr="00D251DB">
        <w:rPr>
          <w:rFonts w:cs="B Nazanin"/>
          <w:sz w:val="28"/>
          <w:szCs w:val="28"/>
          <w:rtl/>
        </w:rPr>
        <w:t>اسوه‌پذیری از پیامبر، صفت نیکویی است که هرکسی به آن متصف نمی‌شود؛ بلکه مؤمنانی به این صفت پسندیده نائل می‌شوند که ایمانی راستین به خدا و روز قیامت داشته باشند. کسانی که دل در گرو عشق خداوند دارند، با تأسّی از پیامبر او را الگوی خود قرار می‌دهند</w:t>
      </w:r>
      <w:r w:rsidR="00E82696" w:rsidRPr="00D251DB">
        <w:rPr>
          <w:rStyle w:val="FootnoteReference"/>
          <w:rFonts w:cs="B Nazanin"/>
          <w:sz w:val="28"/>
          <w:szCs w:val="28"/>
          <w:rtl/>
        </w:rPr>
        <w:footnoteReference w:id="3"/>
      </w:r>
      <w:r w:rsidRPr="00D251DB">
        <w:rPr>
          <w:rFonts w:cs="B Nazanin"/>
          <w:sz w:val="28"/>
          <w:szCs w:val="28"/>
        </w:rPr>
        <w:t xml:space="preserve"> </w:t>
      </w:r>
      <w:r w:rsidRPr="00D251DB">
        <w:rPr>
          <w:rFonts w:cs="B Nazanin"/>
          <w:sz w:val="28"/>
          <w:szCs w:val="28"/>
          <w:rtl/>
        </w:rPr>
        <w:t>مسلما الگوگیری و الگوپذیری یکی از چیزهایی است که در زندگی هر فردی تاثیرگذار است و نقش به‌سزایی را ایفاء می‌کند. چه بسا با یک الگوی صحیح، زندگی انسان تغییر کند و زمینه اعتلای فرد را موجب شود. همچنانکه در مقابل الگوی نامناسب، زمینه انحطاط و سقوط یک فرد و بلکه بالاتر جامعه‌ای را فراهم می‌آورد؛ به‌همین جهت در اسلام بر این نکته تاکید شده که انسان زندگی و راه و روش بندگان صالح خداوند را سرمشق و الگوی خود قرار دهد. در این میان، نقش حضرت فاطمه(س) به‌عنوان الگو حائز اهمیت است. زندگی فردی و اجتماعی حضرت زهرا می‌تواند الگوی مناسبی برای ما باشد. فاطمه(س) در زندگی کوتاه خود تبلور بندگی و عبودیت خداوند بود و با بندگی و عبادت خود به مقام قرب الهی دست یافته بود</w:t>
      </w:r>
      <w:r w:rsidRPr="00D251DB">
        <w:rPr>
          <w:rFonts w:cs="B Nazanin"/>
          <w:sz w:val="28"/>
          <w:szCs w:val="28"/>
        </w:rPr>
        <w:t xml:space="preserve">. </w:t>
      </w:r>
    </w:p>
    <w:p w14:paraId="401E256B" w14:textId="18513FEE" w:rsidR="00CF7C23" w:rsidRPr="00D251DB" w:rsidRDefault="00CF7C23" w:rsidP="00D251DB">
      <w:pPr>
        <w:bidi/>
        <w:rPr>
          <w:rFonts w:cs="B Nazanin"/>
          <w:sz w:val="28"/>
          <w:szCs w:val="28"/>
        </w:rPr>
      </w:pPr>
      <w:r w:rsidRPr="00D251DB">
        <w:rPr>
          <w:rFonts w:cs="B Nazanin"/>
          <w:sz w:val="28"/>
          <w:szCs w:val="28"/>
          <w:rtl/>
        </w:rPr>
        <w:t>حضرت زهرا الگوی همه مؤمنین، اعم از زن و مرد است؛ حتی اهل‌بیت و ائمه هدی نیز ایشان را الگوی کامل خود می‌دانستند. آن حضرت در همه ابعاد انسانی (معنویت، علم، زندگی این جهانی، تربیت خانواده، همسرداری، رسیدگی به امور بندگان خدا، مبارزه و جهاد در راه خدا، مبارزه با ظلم، دفاع از مظلوم، دفاع از ولایت، تحمل مصائب دنیوی، پایبندی به اعتقادات و فرامین الهی، اطاعت از ولی امر مسلمین و ...) می‌تواند الگوی کامل و شایسته‌ای برای بشریت، مسلمانان و مؤمنین در جامعه امروزی باشد</w:t>
      </w:r>
      <w:r w:rsidRPr="00D251DB">
        <w:rPr>
          <w:rFonts w:cs="B Nazanin"/>
          <w:sz w:val="28"/>
          <w:szCs w:val="28"/>
        </w:rPr>
        <w:t>.</w:t>
      </w:r>
    </w:p>
    <w:sectPr w:rsidR="00CF7C23" w:rsidRPr="00D25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A8627" w14:textId="77777777" w:rsidR="008172F3" w:rsidRDefault="008172F3" w:rsidP="00E82696">
      <w:pPr>
        <w:spacing w:after="0" w:line="240" w:lineRule="auto"/>
      </w:pPr>
      <w:r>
        <w:separator/>
      </w:r>
    </w:p>
  </w:endnote>
  <w:endnote w:type="continuationSeparator" w:id="0">
    <w:p w14:paraId="71767DEF" w14:textId="77777777" w:rsidR="008172F3" w:rsidRDefault="008172F3" w:rsidP="00E82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B3368" w14:textId="77777777" w:rsidR="008172F3" w:rsidRDefault="008172F3" w:rsidP="00E82696">
      <w:pPr>
        <w:spacing w:after="0" w:line="240" w:lineRule="auto"/>
      </w:pPr>
      <w:r>
        <w:separator/>
      </w:r>
    </w:p>
  </w:footnote>
  <w:footnote w:type="continuationSeparator" w:id="0">
    <w:p w14:paraId="0E98A014" w14:textId="77777777" w:rsidR="008172F3" w:rsidRDefault="008172F3" w:rsidP="00E82696">
      <w:pPr>
        <w:spacing w:after="0" w:line="240" w:lineRule="auto"/>
      </w:pPr>
      <w:r>
        <w:continuationSeparator/>
      </w:r>
    </w:p>
  </w:footnote>
  <w:footnote w:id="1">
    <w:p w14:paraId="2888F1B6" w14:textId="77777777" w:rsidR="00E82696" w:rsidRDefault="00E82696" w:rsidP="00E82696">
      <w:pPr>
        <w:bidi/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>.</w:t>
      </w:r>
      <w:r w:rsidRPr="00E82696">
        <w:rPr>
          <w:rFonts w:cs="B Nazanin"/>
          <w:sz w:val="20"/>
          <w:szCs w:val="20"/>
          <w:rtl/>
        </w:rPr>
        <w:t xml:space="preserve"> بحار الانوار، ج53، ص178، باب31</w:t>
      </w:r>
    </w:p>
  </w:footnote>
  <w:footnote w:id="2">
    <w:p w14:paraId="28ADA278" w14:textId="77777777" w:rsidR="00E82696" w:rsidRDefault="00E82696" w:rsidP="00E82696">
      <w:pPr>
        <w:bidi/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 xml:space="preserve">. </w:t>
      </w:r>
      <w:r w:rsidRPr="00E82696">
        <w:rPr>
          <w:rFonts w:cs="B Nazanin"/>
          <w:sz w:val="20"/>
          <w:szCs w:val="20"/>
          <w:rtl/>
        </w:rPr>
        <w:t>احزاب/21</w:t>
      </w:r>
    </w:p>
  </w:footnote>
  <w:footnote w:id="3">
    <w:p w14:paraId="283E96C8" w14:textId="77777777" w:rsidR="00E82696" w:rsidRDefault="00E82696" w:rsidP="00E82696">
      <w:pPr>
        <w:bidi/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 xml:space="preserve">. </w:t>
      </w:r>
      <w:r w:rsidRPr="00E82696">
        <w:rPr>
          <w:rFonts w:cs="B Nazanin"/>
          <w:sz w:val="20"/>
          <w:szCs w:val="20"/>
          <w:rtl/>
        </w:rPr>
        <w:t>مصباح یزدی، محمد تقی، جامی از زلال کوثر، قم، موسسه آموزشی و پژوهشی امام خمینی، چاپ دوم، 1381هش، ص74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2141E2"/>
    <w:multiLevelType w:val="multilevel"/>
    <w:tmpl w:val="85D6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9494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C23"/>
    <w:rsid w:val="001B1F22"/>
    <w:rsid w:val="008172F3"/>
    <w:rsid w:val="009707A4"/>
    <w:rsid w:val="00CF7C23"/>
    <w:rsid w:val="00D251DB"/>
    <w:rsid w:val="00DA2484"/>
    <w:rsid w:val="00E82696"/>
    <w:rsid w:val="00F0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F4E0F"/>
  <w15:chartTrackingRefBased/>
  <w15:docId w15:val="{48073BDE-7B48-4DC6-8E72-E1E81655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F7C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7C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7C2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atecreate">
    <w:name w:val="datecreate"/>
    <w:basedOn w:val="Normal"/>
    <w:rsid w:val="00CF7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7C2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CF7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F7C23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269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269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26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6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80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46B86A-9943-4EA3-975E-84AB25C7F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Taghi Hatami</dc:creator>
  <cp:keywords/>
  <dc:description/>
  <cp:lastModifiedBy>Taghi Hatami</cp:lastModifiedBy>
  <cp:revision>4</cp:revision>
  <dcterms:created xsi:type="dcterms:W3CDTF">2021-10-18T10:16:00Z</dcterms:created>
  <dcterms:modified xsi:type="dcterms:W3CDTF">2025-10-05T11:35:00Z</dcterms:modified>
</cp:coreProperties>
</file>